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85812" w14:textId="6DA39183" w:rsidR="00B414D8" w:rsidRDefault="00B414D8" w:rsidP="00B414D8">
      <w:pPr>
        <w:pStyle w:val="Heading110"/>
        <w:keepNext/>
        <w:keepLines/>
        <w:jc w:val="left"/>
        <w:rPr>
          <w:rStyle w:val="Heading11"/>
        </w:rPr>
      </w:pPr>
      <w:bookmarkStart w:id="0" w:name="bookmark4"/>
      <w:r>
        <w:rPr>
          <w:rStyle w:val="Heading11"/>
        </w:rPr>
        <w:t xml:space="preserve">                         </w:t>
      </w:r>
    </w:p>
    <w:p w14:paraId="1C97315C" w14:textId="741BE863" w:rsidR="00FC1FCB" w:rsidRDefault="00657651" w:rsidP="00B414D8">
      <w:pPr>
        <w:pStyle w:val="Heading110"/>
        <w:keepNext/>
        <w:keepLines/>
        <w:jc w:val="left"/>
      </w:pPr>
      <w:r>
        <w:rPr>
          <w:rStyle w:val="Heading11"/>
        </w:rPr>
        <w:t xml:space="preserve">    </w:t>
      </w:r>
      <w:r w:rsidR="00956BDB">
        <w:rPr>
          <w:rStyle w:val="Heading11"/>
        </w:rPr>
        <w:t>Artykuł 59a rozporządzenia wykonawczego Komisji</w:t>
      </w:r>
      <w:r w:rsidR="00956BDB">
        <w:rPr>
          <w:rStyle w:val="Heading11"/>
        </w:rPr>
        <w:br/>
      </w:r>
      <w:r w:rsidR="00B414D8">
        <w:rPr>
          <w:rStyle w:val="Heading11"/>
        </w:rPr>
        <w:t xml:space="preserve">                      </w:t>
      </w:r>
      <w:r w:rsidR="00956BDB">
        <w:rPr>
          <w:rStyle w:val="Heading11"/>
        </w:rPr>
        <w:t>Rozporządzenie 2015/2447</w:t>
      </w:r>
      <w:bookmarkEnd w:id="0"/>
    </w:p>
    <w:p w14:paraId="6F4D5A14" w14:textId="77777777" w:rsidR="00FC1FCB" w:rsidRDefault="00956BDB">
      <w:pPr>
        <w:pStyle w:val="Bodytext20"/>
        <w:spacing w:after="160"/>
      </w:pPr>
      <w:r>
        <w:rPr>
          <w:rStyle w:val="Bodytext2"/>
        </w:rPr>
        <w:t>30 czerwca 2026 r.</w:t>
      </w:r>
    </w:p>
    <w:p w14:paraId="0585B24C" w14:textId="590C01FE" w:rsidR="00FC1FCB" w:rsidRDefault="00956BDB">
      <w:pPr>
        <w:pStyle w:val="Bodytext20"/>
      </w:pPr>
      <w:r>
        <w:rPr>
          <w:rStyle w:val="Bodytext2"/>
        </w:rPr>
        <w:t>Celem niniejszego dokumentu jest dostarczenie informacji na temat stosowania</w:t>
      </w:r>
      <w:r>
        <w:rPr>
          <w:rStyle w:val="Bodytext2"/>
        </w:rPr>
        <w:br/>
        <w:t xml:space="preserve">Art. 59a rozporządzenia wykonawczego Komisji (UE) 2015/2447 ustanawiającego </w:t>
      </w:r>
      <w:r>
        <w:rPr>
          <w:rStyle w:val="Bodytext2"/>
        </w:rPr>
        <w:br/>
        <w:t xml:space="preserve">szczegółowe zasady wykonania niektórych przepisów unijnego kodeksu celnego </w:t>
      </w:r>
      <w:r>
        <w:rPr>
          <w:rStyle w:val="Bodytext2"/>
        </w:rPr>
        <w:br/>
        <w:t>(zwany dalej „</w:t>
      </w:r>
      <w:r w:rsidR="004770D4">
        <w:rPr>
          <w:rStyle w:val="Bodytext2"/>
        </w:rPr>
        <w:t xml:space="preserve">RW </w:t>
      </w:r>
      <w:r>
        <w:rPr>
          <w:rStyle w:val="Bodytext2"/>
        </w:rPr>
        <w:t>UKC”)</w:t>
      </w:r>
      <w:hyperlink w:anchor="bookmark0" w:tooltip="Current Document">
        <w:r>
          <w:rPr>
            <w:rStyle w:val="Bodytext2"/>
          </w:rPr>
          <w:footnoteReference w:id="1"/>
        </w:r>
        <w:r>
          <w:rPr>
            <w:rStyle w:val="Bodytext2"/>
          </w:rPr>
          <w:t>.</w:t>
        </w:r>
      </w:hyperlink>
    </w:p>
    <w:p w14:paraId="7515B8FD" w14:textId="1CACDD19" w:rsidR="00FC1FCB" w:rsidRPr="00657651" w:rsidRDefault="00956BDB" w:rsidP="00657651">
      <w:pPr>
        <w:pStyle w:val="Heading210"/>
        <w:keepNext/>
        <w:keepLines/>
        <w:jc w:val="both"/>
      </w:pPr>
      <w:bookmarkStart w:id="3" w:name="bookmark6"/>
      <w:r w:rsidRPr="00657651">
        <w:rPr>
          <w:rStyle w:val="Heading21"/>
        </w:rPr>
        <w:t>Kiedy stosuje się art. 59a RW UKC?</w:t>
      </w:r>
      <w:bookmarkEnd w:id="3"/>
    </w:p>
    <w:p w14:paraId="5D66C8A1" w14:textId="43F35600" w:rsidR="00FC1FCB" w:rsidRPr="00657651" w:rsidRDefault="00956BDB" w:rsidP="00657651">
      <w:pPr>
        <w:pStyle w:val="Bodytext10"/>
        <w:spacing w:after="160"/>
        <w:jc w:val="both"/>
        <w:rPr>
          <w:rStyle w:val="Bodytext1"/>
        </w:rPr>
      </w:pPr>
      <w:r w:rsidRPr="00657651">
        <w:rPr>
          <w:rStyle w:val="Bodytext1"/>
        </w:rPr>
        <w:t xml:space="preserve">W art. 59a RW UKC wprowadzono przepis proceduralny dotyczący przedstawienia dowodu niepreferencyjnego pochodzenia mający zastosowanie, gdy zgodnie z rozporządzeniem 2026/1455 w zgłoszeniu celnym dotyczącym dopuszczenia do obrotu towarów pochodzących ze Stanów Zjednoczonych </w:t>
      </w:r>
      <w:r w:rsidR="004770D4" w:rsidRPr="00657651">
        <w:rPr>
          <w:rStyle w:val="Bodytext1"/>
        </w:rPr>
        <w:t>wnioskuje się o zastosowanie skorygowanych stawek celnych.</w:t>
      </w:r>
    </w:p>
    <w:p w14:paraId="4B2BB91B" w14:textId="4FDA2CCD" w:rsidR="00FC1FCB" w:rsidRPr="00657651" w:rsidRDefault="00956BDB" w:rsidP="00657651">
      <w:pPr>
        <w:pStyle w:val="Bodytext10"/>
        <w:spacing w:after="480"/>
        <w:jc w:val="both"/>
      </w:pPr>
      <w:r w:rsidRPr="00657651">
        <w:rPr>
          <w:rStyle w:val="Bodytext1"/>
        </w:rPr>
        <w:t>Zgodnie z art. 6 rozporządzenia 2026/1455 pochodzenie ustala się na podstawie reguł niepreferencyjnego pochodzenia w ramach UKC (tytuł II rozdział 2 sekcja 1 UKC</w:t>
      </w:r>
      <w:r w:rsidR="004770D4" w:rsidRPr="00657651">
        <w:t xml:space="preserve">), </w:t>
      </w:r>
      <w:r w:rsidRPr="00657651">
        <w:rPr>
          <w:rStyle w:val="Bodytext1"/>
        </w:rPr>
        <w:t>które, w tym art. 59a RW UKC, mają zastosowanie do czasu przyjęcia preferencyjnych reguł pochodzenia.</w:t>
      </w:r>
    </w:p>
    <w:p w14:paraId="67691ADF" w14:textId="409A45B0" w:rsidR="00FC1FCB" w:rsidRPr="00657651" w:rsidRDefault="00956BDB" w:rsidP="00657651">
      <w:pPr>
        <w:pStyle w:val="Heading210"/>
        <w:keepNext/>
        <w:keepLines/>
        <w:jc w:val="both"/>
      </w:pPr>
      <w:bookmarkStart w:id="4" w:name="bookmark8"/>
      <w:r w:rsidRPr="00657651">
        <w:rPr>
          <w:rStyle w:val="Heading21"/>
        </w:rPr>
        <w:t>W jaki sposób należy udowodnić niepreferencyjne pochodzenie towarów przywożonych ze Stanów Zjednoczonych w ramach skorygowanych ceł? Czy istnieje standardowe sformułowanie lub format?</w:t>
      </w:r>
      <w:bookmarkEnd w:id="4"/>
    </w:p>
    <w:p w14:paraId="19BA0CAE" w14:textId="77777777" w:rsidR="00B46A72" w:rsidRDefault="00956BDB" w:rsidP="00657651">
      <w:pPr>
        <w:pStyle w:val="Bodytext10"/>
        <w:spacing w:after="480"/>
        <w:jc w:val="both"/>
        <w:rPr>
          <w:rStyle w:val="Bodytext1"/>
          <w:b/>
          <w:bCs/>
        </w:rPr>
      </w:pPr>
      <w:r w:rsidRPr="00657651">
        <w:rPr>
          <w:rStyle w:val="Bodytext1"/>
          <w:b/>
          <w:bCs/>
        </w:rPr>
        <w:t xml:space="preserve">Art. 59a RW UKC nie wprowadza żadnego </w:t>
      </w:r>
      <w:r w:rsidR="004770D4" w:rsidRPr="00657651">
        <w:rPr>
          <w:rStyle w:val="Bodytext1"/>
          <w:b/>
          <w:bCs/>
        </w:rPr>
        <w:t xml:space="preserve">sformalizowanego </w:t>
      </w:r>
      <w:r w:rsidRPr="00657651">
        <w:rPr>
          <w:rStyle w:val="Bodytext1"/>
          <w:b/>
          <w:bCs/>
        </w:rPr>
        <w:t xml:space="preserve">dowodu pochodzenia, np. w formie świadectwa lub konkretnego oświadczenia. </w:t>
      </w:r>
    </w:p>
    <w:p w14:paraId="4638C397" w14:textId="70B98F44" w:rsidR="00FC1FCB" w:rsidRPr="00657651" w:rsidRDefault="00956BDB" w:rsidP="00657651">
      <w:pPr>
        <w:pStyle w:val="Bodytext10"/>
        <w:spacing w:after="480"/>
        <w:jc w:val="both"/>
      </w:pPr>
      <w:r w:rsidRPr="00657651">
        <w:rPr>
          <w:rStyle w:val="Bodytext1"/>
        </w:rPr>
        <w:t xml:space="preserve">W tym kontekście dokumenty lub deklaracje sporządzone przez osoby trzecie, takie jak „wyprodukowano w USA”, oświadczenia o pochodzeniu na fakturze lub świadectwach pochodzenia, same w sobie nie są wystarczające do udowodnienia niepreferencyjnego pochodzenia towarów. Importer z UE (zgłaszający) musi przedstawić dalsze dowody istotne dla niepreferencyjnego pochodzenia w tym konkretnym przypadku. Importer z UE będzie musiał posiadać wystarczające dowody na to, że towar pochodzi ze Stanów Zjednoczonych i że został </w:t>
      </w:r>
      <w:r w:rsidRPr="00657651">
        <w:rPr>
          <w:rStyle w:val="Bodytext1"/>
        </w:rPr>
        <w:lastRenderedPageBreak/>
        <w:t xml:space="preserve">bezpośrednio z nich przetransportowany do Unii. Zaleca się, aby importerzy z UE zwrócili się do eksporterów z USA o przedstawienie odpowiednich dowodów. W przypadku gdy eksporterzy amerykańscy nie są w stanie tego zapewnić, nie będzie możliwe ubieganie się o skorygowane należności celne. </w:t>
      </w:r>
    </w:p>
    <w:p w14:paraId="0AB444E3" w14:textId="67E7D33F" w:rsidR="00FC1FCB" w:rsidRPr="00657651" w:rsidRDefault="00956BDB" w:rsidP="00657651">
      <w:pPr>
        <w:pStyle w:val="Heading210"/>
        <w:keepNext/>
        <w:keepLines/>
        <w:spacing w:after="280"/>
        <w:jc w:val="both"/>
      </w:pPr>
      <w:bookmarkStart w:id="5" w:name="bookmark10"/>
      <w:r w:rsidRPr="00657651">
        <w:rPr>
          <w:rStyle w:val="Heading21"/>
        </w:rPr>
        <w:t>Czego wymaga art. 59a RW UKC w odniesieniu do transportu bezpośredniego jako części dowodu pochodzenia?</w:t>
      </w:r>
      <w:bookmarkEnd w:id="5"/>
    </w:p>
    <w:p w14:paraId="40C36173" w14:textId="77777777" w:rsidR="00FC1FCB" w:rsidRPr="00657651" w:rsidRDefault="00956BDB" w:rsidP="00657651">
      <w:pPr>
        <w:pStyle w:val="Bodytext10"/>
        <w:spacing w:after="160"/>
        <w:jc w:val="both"/>
      </w:pPr>
      <w:r w:rsidRPr="00657651">
        <w:rPr>
          <w:rStyle w:val="Bodytext1"/>
        </w:rPr>
        <w:t>Art. 59a RW UKC stanowi, że dowód niepreferencyjnego pochodzenia zawiera dowody na to, że towary są transportowane bezpośrednio ze Stanów Zjednoczonych do Unii lub, jeżeli są transportowane przez państwo trzecie, że pozostają pod dozorem celnym i nie ulegają zmianie podczas transportu.</w:t>
      </w:r>
    </w:p>
    <w:p w14:paraId="227E6055" w14:textId="77777777" w:rsidR="00FC1FCB" w:rsidRPr="00657651" w:rsidRDefault="00956BDB" w:rsidP="00657651">
      <w:pPr>
        <w:pStyle w:val="Bodytext10"/>
        <w:spacing w:after="160"/>
        <w:jc w:val="both"/>
      </w:pPr>
      <w:r w:rsidRPr="00657651">
        <w:rPr>
          <w:rStyle w:val="Bodytext1"/>
        </w:rPr>
        <w:t>Warunek ten uznaje się za część dowodów niezbędnych do wykazania pochodzenia z USA do celów stosowania rozporządzenia 2026/1455.</w:t>
      </w:r>
    </w:p>
    <w:p w14:paraId="65425167" w14:textId="3F7045F2" w:rsidR="00FC1FCB" w:rsidRPr="00657651" w:rsidRDefault="00956BDB" w:rsidP="00657651">
      <w:pPr>
        <w:pStyle w:val="Bodytext10"/>
        <w:spacing w:after="480"/>
        <w:jc w:val="both"/>
      </w:pPr>
      <w:r w:rsidRPr="00657651">
        <w:rPr>
          <w:rStyle w:val="Bodytext1"/>
        </w:rPr>
        <w:t>Dowód bezpośredniego transportu jako część dowodów potwierdzających, że towar pochodzi ze Stanów Zjednoczonych, musi znajdować się w posiadaniu zgłaszającego i być do dyspozycji organów celnych w momencie składania zgłoszenia celnego wraz z wnioskiem o zastosowanie skorygowanych należności celnych.</w:t>
      </w:r>
    </w:p>
    <w:p w14:paraId="3C39C2EC" w14:textId="5BBCCC2E" w:rsidR="00FC1FCB" w:rsidRPr="00657651" w:rsidRDefault="00956BDB" w:rsidP="00657651">
      <w:pPr>
        <w:pStyle w:val="Heading210"/>
        <w:keepNext/>
        <w:keepLines/>
        <w:spacing w:after="280"/>
        <w:jc w:val="both"/>
      </w:pPr>
      <w:bookmarkStart w:id="6" w:name="bookmark12"/>
      <w:r w:rsidRPr="00657651">
        <w:rPr>
          <w:rStyle w:val="Heading21"/>
        </w:rPr>
        <w:t>Jakie dowody można wykorzystać do wykazania transportu bezpośredniego?</w:t>
      </w:r>
      <w:bookmarkEnd w:id="6"/>
    </w:p>
    <w:p w14:paraId="0EF79DCC" w14:textId="0D34B548" w:rsidR="00FC1FCB" w:rsidRPr="00657651" w:rsidRDefault="00956BDB" w:rsidP="00657651">
      <w:pPr>
        <w:pStyle w:val="Bodytext10"/>
        <w:spacing w:after="480"/>
        <w:jc w:val="both"/>
      </w:pPr>
      <w:r w:rsidRPr="00657651">
        <w:rPr>
          <w:rStyle w:val="Bodytext1"/>
        </w:rPr>
        <w:t xml:space="preserve">Zasada </w:t>
      </w:r>
      <w:r w:rsidR="00962535" w:rsidRPr="00657651">
        <w:rPr>
          <w:rStyle w:val="Bodytext1"/>
        </w:rPr>
        <w:t>swobodnej oceny dowodów</w:t>
      </w:r>
      <w:r w:rsidRPr="00657651">
        <w:rPr>
          <w:rStyle w:val="Bodytext1"/>
        </w:rPr>
        <w:t xml:space="preserve"> obejmuje również dowody dotyczące bezpośredniego transportu z kraju pochodzenia, w tym przypadku ze Stanów Zjednoczonych, do Unii. Obejmuje to wszelkie istotne dokumenty i informacje, między innymi dokumenty przewozowe (np. konosament, lotniczy list przewozowy), </w:t>
      </w:r>
      <w:r w:rsidR="00962535" w:rsidRPr="00657651">
        <w:rPr>
          <w:rStyle w:val="Bodytext1"/>
        </w:rPr>
        <w:t>dokumentację kontraktową (umowy sprzedaży i transportu), wykazy lub oznaczenia opakowań itp.</w:t>
      </w:r>
    </w:p>
    <w:p w14:paraId="4C6D4837" w14:textId="680C3BD7" w:rsidR="00FC1FCB" w:rsidRPr="00657651" w:rsidRDefault="00956BDB" w:rsidP="00657651">
      <w:pPr>
        <w:pStyle w:val="Heading210"/>
        <w:keepNext/>
        <w:keepLines/>
        <w:spacing w:after="280"/>
        <w:jc w:val="both"/>
        <w:rPr>
          <w:sz w:val="24"/>
          <w:szCs w:val="24"/>
        </w:rPr>
      </w:pPr>
      <w:bookmarkStart w:id="7" w:name="bookmark14"/>
      <w:r w:rsidRPr="00657651">
        <w:rPr>
          <w:rStyle w:val="Heading21"/>
        </w:rPr>
        <w:t>Co się stanie, jeśli towary przywożone w ramach skorygowanych ceł ze Stanów Zjednoczonych zostaną przewiezione przez państwo trzecie przed dotarciem do UE</w:t>
      </w:r>
      <w:r w:rsidRPr="00657651">
        <w:rPr>
          <w:rStyle w:val="Heading21"/>
          <w:sz w:val="24"/>
          <w:szCs w:val="24"/>
        </w:rPr>
        <w:t>?</w:t>
      </w:r>
      <w:bookmarkEnd w:id="7"/>
    </w:p>
    <w:p w14:paraId="17784D29" w14:textId="6ED93323" w:rsidR="00FC1FCB" w:rsidRPr="00657651" w:rsidRDefault="00956BDB" w:rsidP="00657651">
      <w:pPr>
        <w:pStyle w:val="Bodytext10"/>
        <w:spacing w:after="160"/>
        <w:jc w:val="both"/>
        <w:rPr>
          <w:rStyle w:val="Bodytext1"/>
        </w:rPr>
      </w:pPr>
      <w:r w:rsidRPr="00657651">
        <w:rPr>
          <w:rStyle w:val="Bodytext1"/>
        </w:rPr>
        <w:t>Jeżeli towary zostały przetransportowane przez państwo trzecie, warunek określony w art. 59a UKC –może być nadal spełniony, jeżeli można wykazać, że towary pozostawały pod dozorem celnym podczas transportu przez inne państwa lub – gdy były tam składowane lub dzielone – że towary nie zostały poddane żadnym zmianom innym niż w celu zachowania ich w dobrym stanie lub poprzez dodanie lub umieszczenie znaków, etykiet, p</w:t>
      </w:r>
      <w:r w:rsidR="00962535" w:rsidRPr="00657651">
        <w:rPr>
          <w:rStyle w:val="Bodytext1"/>
        </w:rPr>
        <w:t>lomb</w:t>
      </w:r>
      <w:r w:rsidRPr="00657651">
        <w:rPr>
          <w:rStyle w:val="Bodytext1"/>
        </w:rPr>
        <w:t xml:space="preserve"> lub jakiejkolwiek dokumentacji w celu zapewnienia zgodności ze szczególnymi wymogami.</w:t>
      </w:r>
    </w:p>
    <w:p w14:paraId="7D34D5F0" w14:textId="6D1C8019" w:rsidR="00FC1FCB" w:rsidRPr="00657651" w:rsidRDefault="00956BDB" w:rsidP="00657651">
      <w:pPr>
        <w:pStyle w:val="Bodytext10"/>
        <w:spacing w:after="280"/>
        <w:jc w:val="both"/>
      </w:pPr>
      <w:r w:rsidRPr="00657651">
        <w:rPr>
          <w:rStyle w:val="Bodytext1"/>
        </w:rPr>
        <w:t>Dowody potwierdzające dozór celny i brak zmian powinny być poparte wystarczającą dokumentacją. Może to obejmować na przykład celne dokumenty tranzytowe lub świadectwa o nie</w:t>
      </w:r>
      <w:r w:rsidR="00962535" w:rsidRPr="00657651">
        <w:rPr>
          <w:rStyle w:val="Bodytext1"/>
        </w:rPr>
        <w:t xml:space="preserve"> </w:t>
      </w:r>
      <w:r w:rsidRPr="00657651">
        <w:rPr>
          <w:rStyle w:val="Bodytext1"/>
        </w:rPr>
        <w:lastRenderedPageBreak/>
        <w:t>manipulacji wydane przez właściwe organy odpowiednich państw trzecich.</w:t>
      </w:r>
    </w:p>
    <w:p w14:paraId="6F00534B" w14:textId="3B96BA05" w:rsidR="00FC1FCB" w:rsidRPr="00657651" w:rsidRDefault="00956BDB" w:rsidP="00657651">
      <w:pPr>
        <w:pStyle w:val="Heading210"/>
        <w:keepNext/>
        <w:keepLines/>
        <w:jc w:val="both"/>
      </w:pPr>
      <w:bookmarkStart w:id="8" w:name="bookmark16"/>
      <w:r w:rsidRPr="00657651">
        <w:rPr>
          <w:rStyle w:val="Heading21"/>
        </w:rPr>
        <w:t>W jaki sposób składa się wniosek o skorygowane należności celne przy przywozie?</w:t>
      </w:r>
      <w:bookmarkEnd w:id="8"/>
    </w:p>
    <w:p w14:paraId="7A884EDE" w14:textId="77777777" w:rsidR="00FC1FCB" w:rsidRPr="00657651" w:rsidRDefault="00956BDB" w:rsidP="00657651">
      <w:pPr>
        <w:pStyle w:val="Bodytext10"/>
        <w:spacing w:after="160"/>
        <w:jc w:val="both"/>
      </w:pPr>
      <w:r w:rsidRPr="00657651">
        <w:rPr>
          <w:rStyle w:val="Bodytext1"/>
        </w:rPr>
        <w:t xml:space="preserve">Do celów stosowania skorygowanych należności celnych w odniesieniu do towarów, w przypadku których środki preferencyjne 142 i 145 są włączone do kodów TARIC, zgłaszający wskazuje </w:t>
      </w:r>
      <w:r w:rsidRPr="00657651">
        <w:rPr>
          <w:rStyle w:val="Bodytext1"/>
          <w:b/>
          <w:bCs/>
        </w:rPr>
        <w:t>kod preferencji 300</w:t>
      </w:r>
      <w:r w:rsidRPr="00657651">
        <w:rPr>
          <w:rStyle w:val="Bodytext1"/>
        </w:rPr>
        <w:t xml:space="preserve"> w D. 1411 000 000 </w:t>
      </w:r>
      <w:r w:rsidRPr="00657651">
        <w:rPr>
          <w:rStyle w:val="Bodytext1"/>
          <w:b/>
          <w:bCs/>
        </w:rPr>
        <w:t xml:space="preserve">oraz kod dokumentu U190 </w:t>
      </w:r>
      <w:r w:rsidRPr="00657651">
        <w:rPr>
          <w:rStyle w:val="Bodytext1"/>
          <w:b/>
          <w:bCs/>
          <w:i/>
          <w:iCs/>
        </w:rPr>
        <w:t>Dowód pochodzenia ustanowiony zgodnie z art. 6 rozporządzenia (UE) nr 2026/1455</w:t>
      </w:r>
      <w:r w:rsidRPr="00657651">
        <w:rPr>
          <w:rStyle w:val="Bodytext1"/>
        </w:rPr>
        <w:t xml:space="preserve"> w D. 1203 002 000.</w:t>
      </w:r>
    </w:p>
    <w:p w14:paraId="5A4686C5" w14:textId="77777777" w:rsidR="00FC1FCB" w:rsidRPr="00657651" w:rsidRDefault="00956BDB" w:rsidP="00657651">
      <w:pPr>
        <w:pStyle w:val="Bodytext10"/>
        <w:spacing w:after="480"/>
        <w:jc w:val="both"/>
      </w:pPr>
      <w:r w:rsidRPr="00657651">
        <w:rPr>
          <w:rStyle w:val="Bodytext1"/>
        </w:rPr>
        <w:t>W przypadku gdy towary podlegają kontyngentom, stosuje się inny środek, np. 143 (w niektórych przypadkach może to być 146) i wskazuje się kod preferencji 320.</w:t>
      </w:r>
    </w:p>
    <w:p w14:paraId="5EAD119A" w14:textId="56E84128" w:rsidR="00FC1FCB" w:rsidRPr="00657651" w:rsidRDefault="00956BDB" w:rsidP="00657651">
      <w:pPr>
        <w:pStyle w:val="Heading210"/>
        <w:keepNext/>
        <w:keepLines/>
        <w:jc w:val="both"/>
      </w:pPr>
      <w:bookmarkStart w:id="9" w:name="bookmark18"/>
      <w:r w:rsidRPr="00657651">
        <w:rPr>
          <w:rStyle w:val="Heading21"/>
        </w:rPr>
        <w:t>W jaki sposób przeprowadzana jest weryfikacja wniosku o skorygowane należności celne?</w:t>
      </w:r>
      <w:bookmarkEnd w:id="9"/>
    </w:p>
    <w:p w14:paraId="30891936" w14:textId="77777777" w:rsidR="00FC1FCB" w:rsidRPr="00657651" w:rsidRDefault="00956BDB" w:rsidP="003322C5">
      <w:pPr>
        <w:pStyle w:val="Bodytext10"/>
        <w:spacing w:after="160"/>
        <w:jc w:val="both"/>
      </w:pPr>
      <w:r w:rsidRPr="00657651">
        <w:rPr>
          <w:rStyle w:val="Bodytext1"/>
        </w:rPr>
        <w:t>Weryfikacja wniosku o skorygowane należności celne opiera się na art. 61 ust. 1 UKC, podobnie jak w przypadku wszelkich innych wniosków o niepreferencyjne pochodzenie. Organy celne będą wymagać od zgłaszającego przedstawienia dowodów potwierdzających wskazane niepreferencyjne pochodzenie towarów i ich bezpośredni transport z kraju pochodzenia.</w:t>
      </w:r>
    </w:p>
    <w:p w14:paraId="16990569" w14:textId="05BCF867" w:rsidR="00FC1FCB" w:rsidRPr="00657651" w:rsidRDefault="00956BDB" w:rsidP="00657651">
      <w:pPr>
        <w:pStyle w:val="Bodytext10"/>
        <w:spacing w:after="480"/>
        <w:jc w:val="both"/>
        <w:rPr>
          <w:b/>
          <w:bCs/>
        </w:rPr>
      </w:pPr>
      <w:r w:rsidRPr="00657651">
        <w:rPr>
          <w:rStyle w:val="Bodytext1"/>
          <w:b/>
          <w:bCs/>
        </w:rPr>
        <w:t>Jeżeli istnieją wystarczające dowody na to, że towary</w:t>
      </w:r>
      <w:r w:rsidR="00962535" w:rsidRPr="00657651">
        <w:rPr>
          <w:rStyle w:val="Bodytext1"/>
          <w:b/>
          <w:bCs/>
        </w:rPr>
        <w:t xml:space="preserve"> mają amerykańskie</w:t>
      </w:r>
      <w:r w:rsidRPr="00657651">
        <w:rPr>
          <w:rStyle w:val="Bodytext1"/>
          <w:b/>
          <w:bCs/>
        </w:rPr>
        <w:t xml:space="preserve"> niepreferencyjne</w:t>
      </w:r>
      <w:r w:rsidR="00962535" w:rsidRPr="00657651">
        <w:rPr>
          <w:rStyle w:val="Bodytext1"/>
          <w:b/>
          <w:bCs/>
        </w:rPr>
        <w:t xml:space="preserve"> </w:t>
      </w:r>
      <w:r w:rsidRPr="00657651">
        <w:rPr>
          <w:rStyle w:val="Bodytext1"/>
          <w:b/>
          <w:bCs/>
        </w:rPr>
        <w:t>pochodzeni</w:t>
      </w:r>
      <w:r w:rsidR="00962535" w:rsidRPr="00657651">
        <w:rPr>
          <w:rStyle w:val="Bodytext1"/>
          <w:b/>
          <w:bCs/>
        </w:rPr>
        <w:t>e</w:t>
      </w:r>
      <w:r w:rsidRPr="00657651">
        <w:rPr>
          <w:rStyle w:val="Bodytext1"/>
          <w:b/>
          <w:bCs/>
        </w:rPr>
        <w:t>, ale nie można udowodnić, że zostały one bezpośrednio przetransportowane do Unii, skorygowane należności celne nie mogą być stosowane</w:t>
      </w:r>
      <w:r w:rsidR="00962535" w:rsidRPr="00657651">
        <w:rPr>
          <w:rStyle w:val="Bodytext1"/>
          <w:b/>
          <w:bCs/>
        </w:rPr>
        <w:t xml:space="preserve">. </w:t>
      </w:r>
    </w:p>
    <w:p w14:paraId="077149FD" w14:textId="0952A54F" w:rsidR="00FC1FCB" w:rsidRPr="00657651" w:rsidRDefault="00956BDB" w:rsidP="00657651">
      <w:pPr>
        <w:pStyle w:val="Heading210"/>
        <w:keepNext/>
        <w:keepLines/>
        <w:jc w:val="both"/>
      </w:pPr>
      <w:bookmarkStart w:id="10" w:name="bookmark20"/>
      <w:r w:rsidRPr="00657651">
        <w:rPr>
          <w:rStyle w:val="Heading21"/>
        </w:rPr>
        <w:t>W jaki sposób można stosować niepreferencyjne reguły pochodzenia w celu ustalenia, że towar pochodzi ze Stanów Zjednoczonych do celów stosowania rozporządzenia 2026/1455?</w:t>
      </w:r>
      <w:bookmarkEnd w:id="10"/>
    </w:p>
    <w:p w14:paraId="20303545" w14:textId="7DADBC04" w:rsidR="00FC1FCB" w:rsidRPr="00B46A72" w:rsidRDefault="00956BDB" w:rsidP="00657651">
      <w:pPr>
        <w:pStyle w:val="Bodytext10"/>
        <w:spacing w:after="160"/>
        <w:jc w:val="both"/>
      </w:pPr>
      <w:r w:rsidRPr="00B46A72">
        <w:rPr>
          <w:rStyle w:val="Bodytext1"/>
        </w:rPr>
        <w:t xml:space="preserve">Niepreferencyjne reguły pochodzenia przewidziane w UKC oraz aktach delegowanych i wykonawczych do niego (odpowiednio </w:t>
      </w:r>
      <w:r w:rsidR="00314735" w:rsidRPr="00B46A72">
        <w:rPr>
          <w:rStyle w:val="Bodytext1"/>
        </w:rPr>
        <w:t xml:space="preserve">RW UKC i RD UKC </w:t>
      </w:r>
      <w:r w:rsidRPr="00B46A72">
        <w:rPr>
          <w:rStyle w:val="Bodytext1"/>
        </w:rPr>
        <w:t xml:space="preserve">) będą miały zastosowanie w taki sam sposób, w jaki mają zastosowanie do ustalenia niepreferencyjnego pochodzenia wszelkich innych towarów. Oznacza to, że przy ocenie niepreferencyjnego pochodzenia danego towaru ze Stanów Zjednoczonych towar ten powinien być albo całkowicie uzyskany, albo powinien zostać poddany ostatniemu, istotnemu, ekonomicznie uzasadnionemu przetworzeniu lub obróbce w Stanach Zjednoczonych, w przedsiębiorstwie wyposażonym do tego celu, </w:t>
      </w:r>
      <w:r w:rsidR="00B46A72" w:rsidRPr="00B46A72">
        <w:rPr>
          <w:rStyle w:val="Bodytext1"/>
        </w:rPr>
        <w:t>co spowodowało</w:t>
      </w:r>
      <w:r w:rsidRPr="00B46A72">
        <w:rPr>
          <w:rStyle w:val="Bodytext1"/>
        </w:rPr>
        <w:t xml:space="preserve"> wytworzeni</w:t>
      </w:r>
      <w:r w:rsidR="00B46A72" w:rsidRPr="00B46A72">
        <w:rPr>
          <w:rStyle w:val="Bodytext1"/>
        </w:rPr>
        <w:t xml:space="preserve">e </w:t>
      </w:r>
      <w:r w:rsidRPr="00B46A72">
        <w:rPr>
          <w:rStyle w:val="Bodytext1"/>
        </w:rPr>
        <w:t xml:space="preserve">nowego </w:t>
      </w:r>
      <w:r w:rsidR="00B46A72" w:rsidRPr="00B46A72">
        <w:rPr>
          <w:rStyle w:val="Bodytext1"/>
        </w:rPr>
        <w:t>produkt</w:t>
      </w:r>
      <w:r w:rsidRPr="00B46A72">
        <w:rPr>
          <w:rStyle w:val="Bodytext1"/>
        </w:rPr>
        <w:t xml:space="preserve"> lub stanowi</w:t>
      </w:r>
      <w:r w:rsidR="00B46A72" w:rsidRPr="00B46A72">
        <w:rPr>
          <w:rStyle w:val="Bodytext1"/>
        </w:rPr>
        <w:t>ło w</w:t>
      </w:r>
      <w:r w:rsidRPr="00B46A72">
        <w:rPr>
          <w:rStyle w:val="Bodytext1"/>
        </w:rPr>
        <w:t>ażny etap</w:t>
      </w:r>
      <w:r w:rsidR="00B46A72" w:rsidRPr="00B46A72">
        <w:rPr>
          <w:rStyle w:val="Bodytext1"/>
        </w:rPr>
        <w:t xml:space="preserve"> wytwarzania</w:t>
      </w:r>
      <w:r w:rsidRPr="00B46A72">
        <w:rPr>
          <w:rStyle w:val="Bodytext1"/>
        </w:rPr>
        <w:t>.</w:t>
      </w:r>
    </w:p>
    <w:p w14:paraId="7478610B" w14:textId="08BC3653" w:rsidR="00FC1FCB" w:rsidRPr="00657651" w:rsidRDefault="00FC1FCB" w:rsidP="00657651">
      <w:pPr>
        <w:pStyle w:val="Bodytext10"/>
        <w:jc w:val="both"/>
      </w:pPr>
    </w:p>
    <w:sectPr w:rsidR="00FC1FCB" w:rsidRPr="00657651">
      <w:footerReference w:type="default" r:id="rId6"/>
      <w:pgSz w:w="12240" w:h="15840"/>
      <w:pgMar w:top="1365" w:right="1390" w:bottom="1287" w:left="1408" w:header="937" w:footer="3"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A41D8" w14:textId="77777777" w:rsidR="00340FB5" w:rsidRDefault="00340FB5">
      <w:r>
        <w:separator/>
      </w:r>
    </w:p>
  </w:endnote>
  <w:endnote w:type="continuationSeparator" w:id="0">
    <w:p w14:paraId="72A34669" w14:textId="77777777" w:rsidR="00340FB5" w:rsidRDefault="0034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A8FD" w14:textId="77777777" w:rsidR="00FC1FCB" w:rsidRDefault="00956BDB">
    <w:pPr>
      <w:spacing w:line="1" w:lineRule="exact"/>
    </w:pPr>
    <w:r>
      <w:rPr>
        <w:noProof/>
      </w:rPr>
      <mc:AlternateContent>
        <mc:Choice Requires="wps">
          <w:drawing>
            <wp:anchor distT="0" distB="0" distL="0" distR="0" simplePos="0" relativeHeight="62914690" behindDoc="1" locked="0" layoutInCell="1" allowOverlap="1" wp14:anchorId="5CAC149B" wp14:editId="509F578C">
              <wp:simplePos x="0" y="0"/>
              <wp:positionH relativeFrom="page">
                <wp:posOffset>3867150</wp:posOffset>
              </wp:positionH>
              <wp:positionV relativeFrom="page">
                <wp:posOffset>9305290</wp:posOffset>
              </wp:positionV>
              <wp:extent cx="39370" cy="103505"/>
              <wp:effectExtent l="0" t="0" r="0" b="0"/>
              <wp:wrapNone/>
              <wp:docPr id="1" name="Kształt 1"/>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14:paraId="3E1982B9" w14:textId="77777777" w:rsidR="00FC1FCB" w:rsidRDefault="00956BDB">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wps:txbx>
                    <wps:bodyPr wrap="none" lIns="0" tIns="0" rIns="0" bIns="0">
                      <a:spAutoFit/>
                    </wps:bodyPr>
                  </wps:wsp>
                </a:graphicData>
              </a:graphic>
            </wp:anchor>
          </w:drawing>
        </mc:Choice>
        <mc:Fallback>
          <w:pict>
            <v:shapetype w14:anchorId="5CAC149B" id="_x0000_t202" coordsize="21600,21600" o:spt="202" path="m,l,21600r21600,l21600,xe">
              <v:stroke joinstyle="miter"/>
              <v:path gradientshapeok="t" o:connecttype="rect"/>
            </v:shapetype>
            <v:shape id="Kształt 1" o:spid="_x0000_s1026" type="#_x0000_t202" style="position:absolute;margin-left:304.5pt;margin-top:732.7pt;width:3.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" filled="f" stroked="f">
              <v:textbox style="mso-fit-shape-to-text:t" inset="0,0,0,0">
                <w:txbxContent>
                  <w:p w14:paraId="3E1982B9" w14:textId="77777777" w:rsidR="00FC1FCB" w:rsidRDefault="00956BDB">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C559C" w14:textId="77777777" w:rsidR="00340FB5" w:rsidRDefault="00340FB5">
      <w:r>
        <w:separator/>
      </w:r>
    </w:p>
  </w:footnote>
  <w:footnote w:type="continuationSeparator" w:id="0">
    <w:p w14:paraId="4D30FDCF" w14:textId="77777777" w:rsidR="00340FB5" w:rsidRDefault="00340FB5">
      <w:r>
        <w:continuationSeparator/>
      </w:r>
    </w:p>
  </w:footnote>
  <w:footnote w:id="1">
    <w:p w14:paraId="0BEE7C84" w14:textId="35C00E03" w:rsidR="00FC1FCB" w:rsidRDefault="00956BDB">
      <w:pPr>
        <w:pStyle w:val="Footnote10"/>
        <w:jc w:val="both"/>
      </w:pPr>
      <w:bookmarkStart w:id="1" w:name="bookmark0"/>
      <w:bookmarkStart w:id="2" w:name="bookmark1"/>
      <w:r>
        <w:rPr>
          <w:rStyle w:val="Footnote1"/>
          <w:i/>
          <w:iCs/>
        </w:rPr>
        <w:t>.</w:t>
      </w:r>
      <w:bookmarkEnd w:id="1"/>
      <w:bookmarkEnd w:id="2"/>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FCB"/>
    <w:rsid w:val="00134D6D"/>
    <w:rsid w:val="001B2743"/>
    <w:rsid w:val="00314735"/>
    <w:rsid w:val="003322C5"/>
    <w:rsid w:val="00340FB5"/>
    <w:rsid w:val="004770D4"/>
    <w:rsid w:val="00657651"/>
    <w:rsid w:val="00956BDB"/>
    <w:rsid w:val="00962535"/>
    <w:rsid w:val="00B37472"/>
    <w:rsid w:val="00B414D8"/>
    <w:rsid w:val="00B46A72"/>
    <w:rsid w:val="00FC1F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BAB65"/>
  <w15:docId w15:val="{29D64676-D519-4D22-B678-669533C9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otnote1">
    <w:name w:val="Footnote|1_"/>
    <w:basedOn w:val="Domylnaczcionkaakapitu"/>
    <w:link w:val="Footnote10"/>
    <w:rPr>
      <w:b w:val="0"/>
      <w:bCs w:val="0"/>
      <w:i w:val="0"/>
      <w:iCs w:val="0"/>
      <w:smallCaps w:val="0"/>
      <w:strike w:val="0"/>
      <w:sz w:val="20"/>
      <w:szCs w:val="20"/>
      <w:u w:val="none"/>
    </w:rPr>
  </w:style>
  <w:style w:type="character" w:customStyle="1" w:styleId="Heading11">
    <w:name w:val="Heading #1|1_"/>
    <w:basedOn w:val="Domylnaczcionkaakapitu"/>
    <w:link w:val="Heading110"/>
    <w:rPr>
      <w:b/>
      <w:bCs/>
      <w:i w:val="0"/>
      <w:iCs w:val="0"/>
      <w:smallCaps w:val="0"/>
      <w:strike w:val="0"/>
      <w:color w:val="0F4761"/>
      <w:sz w:val="40"/>
      <w:szCs w:val="40"/>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Bodytext2">
    <w:name w:val="Body text|2_"/>
    <w:basedOn w:val="Domylnaczcionkaakapitu"/>
    <w:link w:val="Bodytext20"/>
    <w:rPr>
      <w:b w:val="0"/>
      <w:bCs w:val="0"/>
      <w:i/>
      <w:iCs/>
      <w:smallCaps w:val="0"/>
      <w:strike w:val="0"/>
      <w:sz w:val="28"/>
      <w:szCs w:val="28"/>
      <w:u w:val="none"/>
    </w:rPr>
  </w:style>
  <w:style w:type="character" w:customStyle="1" w:styleId="Heading21">
    <w:name w:val="Heading #2|1_"/>
    <w:basedOn w:val="Domylnaczcionkaakapitu"/>
    <w:link w:val="Heading210"/>
    <w:rPr>
      <w:b/>
      <w:bCs/>
      <w:i w:val="0"/>
      <w:iCs w:val="0"/>
      <w:smallCaps w:val="0"/>
      <w:strike w:val="0"/>
      <w:color w:val="0F4761"/>
      <w:sz w:val="28"/>
      <w:szCs w:val="28"/>
      <w:u w:val="none"/>
    </w:rPr>
  </w:style>
  <w:style w:type="character" w:customStyle="1" w:styleId="Bodytext1">
    <w:name w:val="Body text|1_"/>
    <w:basedOn w:val="Domylnaczcionkaakapitu"/>
    <w:link w:val="Bodytext10"/>
    <w:rPr>
      <w:b w:val="0"/>
      <w:bCs w:val="0"/>
      <w:i w:val="0"/>
      <w:iCs w:val="0"/>
      <w:smallCaps w:val="0"/>
      <w:strike w:val="0"/>
      <w:u w:val="none"/>
    </w:rPr>
  </w:style>
  <w:style w:type="paragraph" w:customStyle="1" w:styleId="Footnote10">
    <w:name w:val="Footnote|1"/>
    <w:basedOn w:val="Normalny"/>
    <w:link w:val="Footnote1"/>
    <w:rPr>
      <w:sz w:val="20"/>
      <w:szCs w:val="20"/>
    </w:rPr>
  </w:style>
  <w:style w:type="paragraph" w:customStyle="1" w:styleId="Heading110">
    <w:name w:val="Heading #1|1"/>
    <w:basedOn w:val="Normalny"/>
    <w:link w:val="Heading11"/>
    <w:pPr>
      <w:spacing w:after="320" w:line="276" w:lineRule="auto"/>
      <w:jc w:val="center"/>
      <w:outlineLvl w:val="0"/>
    </w:pPr>
    <w:rPr>
      <w:b/>
      <w:bCs/>
      <w:color w:val="0F4761"/>
      <w:sz w:val="40"/>
      <w:szCs w:val="40"/>
    </w:rPr>
  </w:style>
  <w:style w:type="paragraph" w:customStyle="1" w:styleId="Headerorfooter20">
    <w:name w:val="Header or footer|2"/>
    <w:basedOn w:val="Normalny"/>
    <w:link w:val="Headerorfooter2"/>
    <w:rPr>
      <w:sz w:val="20"/>
      <w:szCs w:val="20"/>
    </w:rPr>
  </w:style>
  <w:style w:type="paragraph" w:customStyle="1" w:styleId="Bodytext20">
    <w:name w:val="Body text|2"/>
    <w:basedOn w:val="Normalny"/>
    <w:link w:val="Bodytext2"/>
    <w:pPr>
      <w:spacing w:after="480" w:line="276" w:lineRule="auto"/>
      <w:jc w:val="center"/>
    </w:pPr>
    <w:rPr>
      <w:i/>
      <w:iCs/>
      <w:sz w:val="28"/>
      <w:szCs w:val="28"/>
    </w:rPr>
  </w:style>
  <w:style w:type="paragraph" w:customStyle="1" w:styleId="Heading210">
    <w:name w:val="Heading #2|1"/>
    <w:basedOn w:val="Normalny"/>
    <w:link w:val="Heading21"/>
    <w:pPr>
      <w:spacing w:after="260" w:line="276" w:lineRule="auto"/>
      <w:outlineLvl w:val="1"/>
    </w:pPr>
    <w:rPr>
      <w:b/>
      <w:bCs/>
      <w:color w:val="0F4761"/>
      <w:sz w:val="28"/>
      <w:szCs w:val="28"/>
    </w:rPr>
  </w:style>
  <w:style w:type="paragraph" w:customStyle="1" w:styleId="Bodytext10">
    <w:name w:val="Body text|1"/>
    <w:basedOn w:val="Normalny"/>
    <w:link w:val="Bodytext1"/>
    <w:pPr>
      <w:spacing w:after="26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926</Words>
  <Characters>5562</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Q&amp;A - UCC-IA Article 59a</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Q&amp;A - UCC-IA Article 59a</dc:title>
  <dc:subject/>
  <cp:keywords/>
  <cp:revision>6</cp:revision>
  <dcterms:created xsi:type="dcterms:W3CDTF">2026-07-02T11:33:00Z</dcterms:created>
  <dcterms:modified xsi:type="dcterms:W3CDTF">2026-07-02T12:31:00Z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UxC4dwLulzfINJ8nQH+xvX5LNGipWa4BRSZhPgxsCvkgS+lc/KfnwugJumuvwVxLgyWiWJOdXhBvD/XBs2tbKQ==</vt:lpwstr>
  </property>
  <property fmtid="{D5CDD505-2E9C-101B-9397-08002B2CF9AE}" pid="4" name="MFClassificationDate">
    <vt:lpwstr>2026-07-02T13:20:47.4825164+02:00</vt:lpwstr>
  </property>
  <property fmtid="{D5CDD505-2E9C-101B-9397-08002B2CF9AE}" pid="5" name="MFClassifiedBySID">
    <vt:lpwstr>UxC4dwLulzfINJ8nQH+xvX5LNGipWa4BRSZhPgxsCvm42mrIC/DSDv0ggS+FjUN/2v1BBotkLlY5aAiEhoi6ueioJmSXNe5yNTKgHFdhtw0cIzsUeTdlB5r5p3UYQhbe</vt:lpwstr>
  </property>
  <property fmtid="{D5CDD505-2E9C-101B-9397-08002B2CF9AE}" pid="6" name="MFGRNItemId">
    <vt:lpwstr>GRN-eed8e29a-282b-4c35-9c7f-598bc5f696be</vt:lpwstr>
  </property>
  <property fmtid="{D5CDD505-2E9C-101B-9397-08002B2CF9AE}" pid="7" name="MFHash">
    <vt:lpwstr>Uh26mbzdiNfr2EErXyqYi+caMoihe3KkEsw08nuix5w=</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